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bookmarkStart w:id="2" w:name="_GoBack"/>
      <w:r>
        <w:rPr>
          <w:rFonts w:hint="eastAsia" w:asciiTheme="minorEastAsia" w:hAnsiTheme="minorEastAsia"/>
          <w:spacing w:val="15"/>
          <w:sz w:val="36"/>
          <w:szCs w:val="36"/>
          <w:highlight w:val="none"/>
          <w:lang w:eastAsia="zh-CN"/>
        </w:rPr>
        <w:t>JDFYCG-202</w:t>
      </w:r>
      <w:r>
        <w:rPr>
          <w:rFonts w:hint="eastAsia" w:asciiTheme="minorEastAsia" w:hAnsiTheme="minorEastAsia"/>
          <w:spacing w:val="15"/>
          <w:sz w:val="36"/>
          <w:szCs w:val="36"/>
          <w:highlight w:val="none"/>
          <w:lang w:val="en-US" w:eastAsia="zh-CN"/>
        </w:rPr>
        <w:t>4</w:t>
      </w:r>
      <w:r>
        <w:rPr>
          <w:rFonts w:hint="eastAsia" w:asciiTheme="minorEastAsia" w:hAnsiTheme="minorEastAsia"/>
          <w:spacing w:val="15"/>
          <w:sz w:val="36"/>
          <w:szCs w:val="36"/>
          <w:highlight w:val="none"/>
          <w:lang w:eastAsia="zh-CN"/>
        </w:rPr>
        <w:t>00</w:t>
      </w:r>
      <w:r>
        <w:rPr>
          <w:rFonts w:hint="eastAsia" w:asciiTheme="minorEastAsia" w:hAnsiTheme="minorEastAsia"/>
          <w:spacing w:val="15"/>
          <w:sz w:val="36"/>
          <w:szCs w:val="36"/>
          <w:highlight w:val="none"/>
          <w:lang w:val="en-US" w:eastAsia="zh-CN"/>
        </w:rPr>
        <w:t>8</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rPr>
        <w:t>扬州市江都妇幼保健院互联网医院信息系统建设项目询价文件</w:t>
      </w:r>
    </w:p>
    <w:p>
      <w:pPr>
        <w:spacing w:line="360" w:lineRule="auto"/>
        <w:ind w:left="1" w:right="-44" w:rightChars="-21" w:hanging="1"/>
        <w:jc w:val="center"/>
        <w:rPr>
          <w:rFonts w:asciiTheme="minorEastAsia" w:hAnsiTheme="minorEastAsia"/>
          <w:b/>
          <w:spacing w:val="15"/>
          <w:sz w:val="44"/>
          <w:szCs w:val="44"/>
          <w:highlight w:val="none"/>
        </w:rPr>
      </w:pPr>
    </w:p>
    <w:bookmarkEnd w:id="2"/>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6</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21</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r>
        <w:rPr>
          <w:rFonts w:hint="eastAsia" w:asciiTheme="minorEastAsia" w:hAnsiTheme="minorEastAsia"/>
          <w:b/>
          <w:spacing w:val="15"/>
          <w:sz w:val="36"/>
          <w:szCs w:val="36"/>
          <w:highlight w:val="none"/>
          <w:u w:val="single"/>
          <w:lang w:eastAsia="zh-CN"/>
        </w:rPr>
        <w:t>JDFYCG-2024008</w:t>
      </w:r>
      <w:r>
        <w:rPr>
          <w:rFonts w:hint="eastAsia" w:asciiTheme="minorEastAsia" w:hAnsiTheme="minorEastAsia"/>
          <w:b/>
          <w:spacing w:val="15"/>
          <w:sz w:val="36"/>
          <w:szCs w:val="36"/>
          <w:highlight w:val="none"/>
          <w:u w:val="single"/>
        </w:rPr>
        <w:t>扬州市江都妇幼保健院</w:t>
      </w:r>
      <w:r>
        <w:rPr>
          <w:rFonts w:hint="eastAsia" w:asciiTheme="minorEastAsia" w:hAnsiTheme="minorEastAsia"/>
          <w:b/>
          <w:spacing w:val="15"/>
          <w:sz w:val="36"/>
          <w:szCs w:val="36"/>
          <w:highlight w:val="none"/>
          <w:u w:val="single"/>
          <w:lang w:eastAsia="zh-CN"/>
        </w:rPr>
        <w:t>互联网医院信息系统建设项目</w:t>
      </w: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rPr>
        <w:t>询价公告</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JDFYCG-2024008</w:t>
      </w:r>
    </w:p>
    <w:p>
      <w:pPr>
        <w:spacing w:line="480" w:lineRule="exact"/>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互联网医院信息系统建设项目</w:t>
      </w:r>
      <w:r>
        <w:rPr>
          <w:rFonts w:hint="eastAsia" w:ascii="宋体" w:hAnsi="宋体" w:eastAsia="宋体" w:cs="Times New Roman"/>
          <w:bCs/>
          <w:sz w:val="24"/>
          <w:szCs w:val="24"/>
          <w:highlight w:val="none"/>
        </w:rPr>
        <w:t>，现欢迎符合相关条件的供应商参加。</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1、报价一览表（原件）；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3</w:t>
      </w:r>
      <w:r>
        <w:rPr>
          <w:rFonts w:hint="eastAsia" w:ascii="宋体" w:hAnsi="宋体"/>
          <w:bCs/>
          <w:sz w:val="24"/>
          <w:szCs w:val="24"/>
          <w:highlight w:val="none"/>
        </w:rPr>
        <w:t>、法定代表人资格证明或法定代表人有效授权委托书（原件及复印件加盖投标人公章）；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4</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hint="default" w:eastAsia="Adobe 仿宋 Std R"/>
          <w:highlight w:val="none"/>
          <w:lang w:val="en-US" w:eastAsia="zh-CN"/>
        </w:rPr>
      </w:pPr>
      <w:r>
        <w:rPr>
          <w:rFonts w:hint="eastAsia" w:ascii="宋体" w:hAnsi="宋体"/>
          <w:bCs/>
          <w:sz w:val="24"/>
          <w:szCs w:val="24"/>
          <w:highlight w:val="none"/>
          <w:lang w:val="en-US" w:eastAsia="zh-CN"/>
        </w:rPr>
        <w:t>5、</w:t>
      </w:r>
      <w:r>
        <w:rPr>
          <w:rFonts w:hint="eastAsia" w:ascii="宋体" w:hAnsi="宋体"/>
          <w:bCs/>
          <w:sz w:val="24"/>
          <w:szCs w:val="24"/>
          <w:highlight w:val="none"/>
        </w:rPr>
        <w:t>投标人所提供投标产品技术参数满足采购人需求的证明文件；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、技术参数要求响应偏离表（加盖公章）；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、承诺书（格式详见附件3，加盖公章）；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8</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、供应商廉洁自律承诺书（格式详见附件5，加盖公章）。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玖仟捌佰</w:t>
      </w:r>
      <w:r>
        <w:rPr>
          <w:rFonts w:hint="eastAsia" w:ascii="宋体" w:hAnsi="宋体"/>
          <w:b/>
          <w:sz w:val="24"/>
          <w:szCs w:val="24"/>
          <w:highlight w:val="none"/>
          <w:lang w:eastAsia="zh-CN"/>
        </w:rPr>
        <w:t>元整</w:t>
      </w:r>
      <w:r>
        <w:rPr>
          <w:rFonts w:hint="eastAsia" w:ascii="宋体" w:hAnsi="宋体"/>
          <w:b/>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49</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rPr>
      </w:pPr>
      <w:r>
        <w:rPr>
          <w:rFonts w:hint="eastAsia" w:ascii="仿宋_GB2312" w:hAnsi="宋体" w:cs="Arial"/>
          <w:sz w:val="24"/>
          <w:szCs w:val="24"/>
          <w:highlight w:val="none"/>
        </w:rPr>
        <w:t>（九）</w:t>
      </w:r>
      <w:r>
        <w:rPr>
          <w:rFonts w:hint="eastAsia" w:ascii="仿宋_GB2312" w:hAnsi="宋体" w:cs="Arial"/>
          <w:sz w:val="24"/>
          <w:szCs w:val="24"/>
          <w:highlight w:val="none"/>
          <w:lang w:val="en-US" w:eastAsia="zh-CN"/>
        </w:rPr>
        <w:t>服务</w:t>
      </w:r>
      <w:r>
        <w:rPr>
          <w:rFonts w:hint="eastAsia" w:ascii="仿宋_GB2312" w:hAnsi="宋体" w:cs="Arial"/>
          <w:sz w:val="24"/>
          <w:szCs w:val="24"/>
          <w:highlight w:val="none"/>
        </w:rPr>
        <w:t>期</w:t>
      </w:r>
      <w:r>
        <w:rPr>
          <w:rFonts w:hint="eastAsia" w:ascii="仿宋_GB2312" w:hAnsi="宋体" w:cs="Arial"/>
          <w:sz w:val="24"/>
          <w:szCs w:val="24"/>
          <w:highlight w:val="none"/>
          <w:lang w:val="en-US" w:eastAsia="zh-CN"/>
        </w:rPr>
        <w:t>限</w:t>
      </w:r>
      <w:r>
        <w:rPr>
          <w:rFonts w:hint="eastAsia" w:ascii="仿宋_GB2312" w:hAnsi="宋体" w:cs="Arial"/>
          <w:sz w:val="24"/>
          <w:szCs w:val="24"/>
          <w:highlight w:val="none"/>
        </w:rPr>
        <w:t>：合同签订后20日内完成建设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_GB2312" w:hAnsi="宋体" w:cs="Arial" w:eastAsiaTheme="minorEastAsia"/>
          <w:sz w:val="24"/>
          <w:szCs w:val="24"/>
          <w:highlight w:val="none"/>
          <w:lang w:val="en-US"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w:t>
      </w:r>
      <w:r>
        <w:rPr>
          <w:rFonts w:hint="eastAsia" w:ascii="仿宋_GB2312" w:hAnsi="宋体" w:cs="Arial"/>
          <w:sz w:val="24"/>
          <w:szCs w:val="24"/>
          <w:highlight w:val="none"/>
          <w:lang w:val="en-US" w:eastAsia="zh-CN"/>
        </w:rPr>
        <w:tab/>
      </w:r>
      <w:r>
        <w:rPr>
          <w:rFonts w:hint="eastAsia" w:ascii="仿宋_GB2312" w:hAnsi="宋体" w:cs="Arial"/>
          <w:sz w:val="24"/>
          <w:szCs w:val="24"/>
          <w:highlight w:val="none"/>
          <w:lang w:val="en-US" w:eastAsia="zh-CN"/>
        </w:rPr>
        <w:t>免费质保期：一年</w:t>
      </w:r>
    </w:p>
    <w:p>
      <w:pPr>
        <w:keepNext w:val="0"/>
        <w:keepLines w:val="0"/>
        <w:pageBreakBefore w:val="0"/>
        <w:kinsoku/>
        <w:wordWrap/>
        <w:topLinePunct w:val="0"/>
        <w:bidi w:val="0"/>
        <w:snapToGrid/>
        <w:spacing w:line="480" w:lineRule="exact"/>
        <w:ind w:firstLine="480" w:firstLineChars="200"/>
        <w:rPr>
          <w:rFonts w:hint="eastAsia" w:ascii="仿宋_GB2312" w:hAnsi="宋体" w:cs="Arial"/>
          <w:sz w:val="24"/>
          <w:szCs w:val="24"/>
          <w:highlight w:val="none"/>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付款方式：合同签订后，安装调试完成验收合格后付合同价的 50%，验收合格满一年后付清余款</w:t>
      </w:r>
    </w:p>
    <w:p>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26</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lang w:val="en-US" w:eastAsia="zh-CN"/>
        </w:rPr>
        <w:t>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14:30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26</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lang w:val="en-US" w:eastAsia="zh-CN"/>
        </w:rPr>
        <w:t>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15:00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26</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rPr>
        <w:t>下午</w:t>
      </w:r>
      <w:r>
        <w:rPr>
          <w:rFonts w:hint="eastAsia" w:cs="Arial" w:asciiTheme="majorEastAsia" w:hAnsiTheme="majorEastAsia" w:eastAsiaTheme="majorEastAsia"/>
          <w:sz w:val="24"/>
          <w:szCs w:val="24"/>
          <w:highlight w:val="none"/>
          <w:lang w:val="en-US" w:eastAsia="zh-CN"/>
        </w:rPr>
        <w:t>15:00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spacing w:line="480" w:lineRule="exact"/>
        <w:jc w:val="both"/>
        <w:rPr>
          <w:rFonts w:hint="eastAsia" w:ascii="仿宋_GB2312" w:hAnsi="宋体" w:cs="Arial"/>
          <w:sz w:val="24"/>
          <w:szCs w:val="24"/>
          <w:highlight w:val="none"/>
        </w:rPr>
      </w:pPr>
    </w:p>
    <w:p>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项目名称：扬州市江都妇幼保健院</w:t>
            </w:r>
            <w:r>
              <w:rPr>
                <w:rFonts w:hint="eastAsia" w:cs="仿宋" w:asciiTheme="majorEastAsia" w:hAnsiTheme="majorEastAsia" w:eastAsiaTheme="majorEastAsia"/>
                <w:bCs/>
                <w:highlight w:val="none"/>
                <w:lang w:eastAsia="zh-CN"/>
              </w:rPr>
              <w:t>互联网医院信息系统建设项目</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JDFYCG-2024008</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供应商资格要求：</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rPr>
              <w:t>1、投标供应商须具备《中华人民共和国政府采购法》第22条规定；</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2</w:t>
            </w:r>
            <w:r>
              <w:rPr>
                <w:rFonts w:hint="eastAsia" w:cs="仿宋" w:asciiTheme="majorEastAsia" w:hAnsiTheme="majorEastAsia" w:eastAsiaTheme="majorEastAsia"/>
                <w:bCs/>
                <w:highlight w:val="none"/>
              </w:rPr>
              <w:t>、本项目不接受联合体投标；</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26</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lang w:val="en-US" w:eastAsia="zh-CN"/>
              </w:rPr>
              <w:t>下</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26</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lang w:val="en-US" w:eastAsia="zh-CN"/>
              </w:rPr>
              <w:t>下</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15:00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26</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lang w:val="en-US" w:eastAsia="zh-CN"/>
              </w:rPr>
              <w:t>下</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15:00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投标保证金：玖仟捌佰元整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748"/>
        <w:gridCol w:w="3245"/>
        <w:gridCol w:w="205"/>
        <w:gridCol w:w="1453"/>
        <w:gridCol w:w="374"/>
        <w:gridCol w:w="406"/>
        <w:gridCol w:w="870"/>
        <w:gridCol w:w="224"/>
        <w:gridCol w:w="1582"/>
        <w:gridCol w:w="970"/>
        <w:gridCol w:w="1307"/>
        <w:gridCol w:w="2077"/>
        <w:gridCol w:w="499"/>
        <w:gridCol w:w="1675"/>
      </w:tblGrid>
      <w:tr>
        <w:tblPrEx>
          <w:tblCellMar>
            <w:top w:w="0" w:type="dxa"/>
            <w:left w:w="108" w:type="dxa"/>
            <w:bottom w:w="0" w:type="dxa"/>
            <w:right w:w="108" w:type="dxa"/>
          </w:tblCellMar>
        </w:tblPrEx>
        <w:trPr>
          <w:trHeight w:val="54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val="en-US" w:eastAsia="zh-CN"/>
              </w:rPr>
            </w:pPr>
            <w:r>
              <w:rPr>
                <w:rFonts w:hint="eastAsia" w:ascii="宋体" w:cs="Times New Roman"/>
                <w:kern w:val="0"/>
                <w:szCs w:val="21"/>
                <w:highlight w:val="none"/>
                <w:lang w:val="en-US" w:eastAsia="zh-CN"/>
              </w:rPr>
              <w:t>序号</w:t>
            </w:r>
          </w:p>
        </w:tc>
        <w:tc>
          <w:tcPr>
            <w:tcW w:w="3450"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4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互联网医院信息系统建设项目</w:t>
            </w:r>
          </w:p>
        </w:tc>
        <w:tc>
          <w:tcPr>
            <w:tcW w:w="182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项</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561" w:hRule="atLeast"/>
          <w:jc w:val="center"/>
        </w:trPr>
        <w:tc>
          <w:tcPr>
            <w:tcW w:w="15635" w:type="dxa"/>
            <w:gridSpan w:val="14"/>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tblPrEx>
          <w:tblCellMar>
            <w:top w:w="0" w:type="dxa"/>
            <w:left w:w="108" w:type="dxa"/>
            <w:bottom w:w="0" w:type="dxa"/>
            <w:right w:w="108" w:type="dxa"/>
          </w:tblCellMar>
        </w:tblPrEx>
        <w:trPr>
          <w:trHeight w:val="609" w:hRule="atLeast"/>
          <w:jc w:val="center"/>
        </w:trPr>
        <w:tc>
          <w:tcPr>
            <w:tcW w:w="15635"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hint="eastAsia" w:ascii="宋体" w:hAnsi="宋体" w:cs="宋体"/>
                <w:kern w:val="0"/>
                <w:highlight w:val="none"/>
                <w:lang w:val="en-US" w:eastAsia="zh-CN"/>
              </w:rPr>
              <w:t>合同签订后20日内完成建设</w:t>
            </w:r>
          </w:p>
        </w:tc>
      </w:tr>
      <w:tr>
        <w:tblPrEx>
          <w:tblCellMar>
            <w:top w:w="0" w:type="dxa"/>
            <w:left w:w="108" w:type="dxa"/>
            <w:bottom w:w="0" w:type="dxa"/>
            <w:right w:w="108" w:type="dxa"/>
          </w:tblCellMar>
        </w:tblPrEx>
        <w:trPr>
          <w:trHeight w:val="60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eastAsia="zh-CN"/>
              </w:rPr>
              <w:t>序号</w:t>
            </w:r>
          </w:p>
        </w:tc>
        <w:tc>
          <w:tcPr>
            <w:tcW w:w="3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项目名称</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eastAsia="zh-CN"/>
              </w:rPr>
              <w:t>详细服务要求</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数量</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单位</w:t>
            </w:r>
          </w:p>
        </w:tc>
        <w:tc>
          <w:tcPr>
            <w:tcW w:w="277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单价最高限价</w:t>
            </w:r>
          </w:p>
        </w:tc>
        <w:tc>
          <w:tcPr>
            <w:tcW w:w="38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单   价</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备注</w:t>
            </w:r>
          </w:p>
        </w:tc>
      </w:tr>
      <w:tr>
        <w:tblPrEx>
          <w:tblCellMar>
            <w:top w:w="0" w:type="dxa"/>
            <w:left w:w="108" w:type="dxa"/>
            <w:bottom w:w="0" w:type="dxa"/>
            <w:right w:w="108" w:type="dxa"/>
          </w:tblCellMar>
        </w:tblPrEx>
        <w:trPr>
          <w:trHeight w:val="60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3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过免费质保期后每年的维护费率</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年</w:t>
            </w:r>
          </w:p>
        </w:tc>
        <w:tc>
          <w:tcPr>
            <w:tcW w:w="277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投标价的 10%/年</w:t>
            </w:r>
          </w:p>
        </w:tc>
        <w:tc>
          <w:tcPr>
            <w:tcW w:w="38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投标价的</w:t>
            </w:r>
            <w:r>
              <w:rPr>
                <w:rFonts w:hint="eastAsia" w:ascii="宋体" w:hAnsi="宋体" w:cs="宋体"/>
                <w:kern w:val="0"/>
                <w:szCs w:val="21"/>
                <w:highlight w:val="none"/>
                <w:u w:val="single"/>
                <w:lang w:val="en-US" w:eastAsia="zh-CN"/>
              </w:rPr>
              <w:t xml:space="preserve">     %/ 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u w:val="single"/>
                <w:lang w:val="en-US" w:eastAsia="zh-CN"/>
              </w:rPr>
              <w:t xml:space="preserve">        元/年</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不计入总价</w:t>
            </w:r>
          </w:p>
        </w:tc>
      </w:tr>
      <w:tr>
        <w:tblPrEx>
          <w:tblCellMar>
            <w:top w:w="0" w:type="dxa"/>
            <w:left w:w="108" w:type="dxa"/>
            <w:bottom w:w="0" w:type="dxa"/>
            <w:right w:w="108" w:type="dxa"/>
          </w:tblCellMar>
        </w:tblPrEx>
        <w:trPr>
          <w:trHeight w:val="2260" w:hRule="atLeast"/>
          <w:jc w:val="center"/>
        </w:trPr>
        <w:tc>
          <w:tcPr>
            <w:tcW w:w="15635"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ascii="宋体" w:hAnsi="宋体" w:cs="宋体"/>
                <w:kern w:val="0"/>
                <w:highlight w:val="none"/>
                <w:lang w:eastAsia="zh-CN"/>
              </w:rPr>
              <w:t>人员工资</w:t>
            </w:r>
            <w:r>
              <w:rPr>
                <w:rFonts w:hint="eastAsia" w:ascii="宋体" w:hAnsi="宋体" w:cs="宋体"/>
                <w:kern w:val="0"/>
                <w:highlight w:val="none"/>
              </w:rPr>
              <w:t>—</w:t>
            </w:r>
            <w:r>
              <w:rPr>
                <w:rFonts w:hint="eastAsia" w:ascii="宋体" w:hAnsi="宋体" w:cs="宋体"/>
                <w:kern w:val="0"/>
                <w:highlight w:val="none"/>
                <w:lang w:val="en-US" w:eastAsia="zh-CN"/>
              </w:rPr>
              <w:t>系统建设费</w:t>
            </w:r>
            <w:r>
              <w:rPr>
                <w:rFonts w:hint="eastAsia" w:ascii="宋体" w:hAnsi="宋体" w:cs="宋体"/>
                <w:kern w:val="0"/>
                <w:highlight w:val="none"/>
              </w:rPr>
              <w:t>—</w:t>
            </w:r>
            <w:r>
              <w:rPr>
                <w:rFonts w:hint="eastAsia" w:ascii="宋体" w:hAnsi="宋体" w:cs="宋体"/>
                <w:kern w:val="0"/>
                <w:highlight w:val="none"/>
                <w:lang w:eastAsia="zh-CN"/>
              </w:rPr>
              <w:t>安装调试费</w:t>
            </w:r>
            <w:r>
              <w:rPr>
                <w:rFonts w:hint="eastAsia" w:ascii="宋体" w:hAnsi="宋体" w:cs="宋体"/>
                <w:kern w:val="0"/>
                <w:highlight w:val="none"/>
                <w:lang w:val="en-US" w:eastAsia="zh-CN"/>
              </w:rPr>
              <w:t>-无缝对接费用(含接口)</w:t>
            </w:r>
            <w:r>
              <w:rPr>
                <w:rFonts w:hint="eastAsia" w:ascii="宋体" w:hAnsi="宋体" w:cs="宋体"/>
                <w:kern w:val="0"/>
                <w:highlight w:val="none"/>
              </w:rPr>
              <w:t>—税金等相关所有费用。</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5、</w:t>
            </w:r>
            <w:r>
              <w:rPr>
                <w:rFonts w:hint="eastAsia" w:ascii="宋体" w:hAnsi="宋体" w:cs="宋体"/>
                <w:kern w:val="0"/>
                <w:highlight w:val="none"/>
                <w:lang w:val="en-US" w:eastAsia="zh-CN"/>
              </w:rPr>
              <w:tab/>
            </w:r>
            <w:r>
              <w:rPr>
                <w:rFonts w:hint="eastAsia" w:ascii="宋体" w:hAnsi="宋体" w:cs="宋体"/>
                <w:kern w:val="0"/>
                <w:highlight w:val="none"/>
                <w:lang w:val="en-US" w:eastAsia="zh-CN"/>
              </w:rPr>
              <w:t>免费质保期：一年</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spacing w:line="360" w:lineRule="auto"/>
        <w:ind w:left="140" w:leftChars="67"/>
        <w:jc w:val="center"/>
        <w:rPr>
          <w:rFonts w:hint="eastAsia" w:ascii="宋体" w:hAnsi="宋体"/>
          <w:b/>
          <w:sz w:val="30"/>
          <w:szCs w:val="30"/>
        </w:rPr>
      </w:pPr>
      <w:r>
        <w:rPr>
          <w:rFonts w:hint="eastAsia" w:ascii="宋体" w:hAnsi="宋体"/>
          <w:b/>
          <w:sz w:val="30"/>
          <w:szCs w:val="30"/>
          <w:lang w:eastAsia="zh-CN"/>
        </w:rPr>
        <w:t>互联网医院信息系统建设项目</w:t>
      </w:r>
      <w:r>
        <w:rPr>
          <w:rFonts w:hint="eastAsia" w:ascii="宋体" w:hAnsi="宋体"/>
          <w:b/>
          <w:sz w:val="30"/>
          <w:szCs w:val="30"/>
        </w:rPr>
        <w:t>技术参数要求</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270"/>
        <w:gridCol w:w="1308"/>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4"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服务端</w:t>
            </w: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一级功能</w:t>
            </w:r>
          </w:p>
        </w:tc>
        <w:tc>
          <w:tcPr>
            <w:tcW w:w="731"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二级功能</w:t>
            </w:r>
          </w:p>
        </w:tc>
        <w:tc>
          <w:tcPr>
            <w:tcW w:w="3014"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4" w:type="pct"/>
            <w:vMerge w:val="continue"/>
            <w:noWrap w:val="0"/>
            <w:vAlign w:val="center"/>
          </w:tcPr>
          <w:p>
            <w:pPr>
              <w:spacing w:line="360" w:lineRule="auto"/>
              <w:jc w:val="left"/>
              <w:rPr>
                <w:rFonts w:hint="eastAsia" w:ascii="宋体" w:hAnsi="宋体" w:eastAsia="宋体" w:cs="宋体"/>
                <w:b/>
                <w:bCs/>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b/>
                <w:bCs/>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b/>
                <w:bCs/>
                <w:i w:val="0"/>
                <w:iCs w:val="0"/>
                <w:color w:val="auto"/>
                <w:sz w:val="21"/>
                <w:szCs w:val="21"/>
                <w:u w:val="none"/>
              </w:rPr>
            </w:pPr>
          </w:p>
        </w:tc>
        <w:tc>
          <w:tcPr>
            <w:tcW w:w="3014" w:type="pct"/>
            <w:vMerge w:val="continue"/>
            <w:noWrap w:val="0"/>
            <w:vAlign w:val="center"/>
          </w:tcPr>
          <w:p>
            <w:pPr>
              <w:spacing w:line="360" w:lineRule="auto"/>
              <w:jc w:val="left"/>
              <w:rPr>
                <w:rFonts w:hint="eastAsia" w:ascii="宋体" w:hAnsi="宋体" w:eastAsia="宋体" w:cs="宋体"/>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restart"/>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互联网医疗健康管理系统</w:t>
            </w: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工作台</w:t>
            </w:r>
          </w:p>
        </w:tc>
        <w:tc>
          <w:tcPr>
            <w:tcW w:w="731" w:type="pct"/>
            <w:noWrap w:val="0"/>
            <w:vAlign w:val="center"/>
          </w:tcPr>
          <w:p>
            <w:pPr>
              <w:spacing w:line="360" w:lineRule="auto"/>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工作台</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提供根据数据权限，查看平台所有用户/某机构在线问诊、预约挂号、门诊缴费、免费咨询、在线开单、住院预交金业务量。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基础设置</w:t>
            </w:r>
          </w:p>
        </w:tc>
        <w:tc>
          <w:tcPr>
            <w:tcW w:w="731" w:type="pct"/>
            <w:vMerge w:val="restar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机构业务管理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支持对机构开通卡类型、开展互联网机构、互联网执业许可证、监管对接参数、机构电话扩展参数进行维护。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支持对机构对接互联网监管平台诊疗科目是否准入进行设置。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支持对机构已开通业务功能进行启用/停用/对部分用户开放设置，部分功能机构业务规则进行设置；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支持通过关键词搜索功能信息。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在线问诊规则</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支持对问诊放号天数、放号时间规则进行设置；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支持对问诊购买支付时限进行设置；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支持对病历排序、辅助检查、开通业务、电子签章进行设置。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支持对问诊模式、退号规则、问诊时限、问诊时长、接诊限制、显示排班、恢复接诊、问诊年龄进行规则设置。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 人员置顶、复诊验证、就诊机构、病情引用、慢病病种、协议须知进行设置。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处方购药规则</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支持对处方跨院流转、支付类型、取药方式、购药须知进行维护。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科室信息管理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支持查询当前机构启用的科室信息，支持对科室状态、科室开展业务、诊疗科目、科室图片/备注/介绍等扩展信息进行维护；支持通过科室名称、科室类型、科室状态搜索相关科室。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人员信息管理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支持查询医疗机构所有启用的医务人员信息，支持通过科室名称、人员名称、人员性质搜索相关人员；</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支持对人员备案的执业信息、双语言介绍进行维护；</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支持对人员状态、开展业务进行设置。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机构专家管理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支持按机构自定义开放的专家类型，设置类型基础介绍、选择相关人员信息；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支持对已维护的专家类型进行编辑、删除、停用、启用操作。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健康资讯管理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支持自定义维护健康知识库、资讯等资讯频道，可设置频道内容类型（图文、视频）；</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支持查看频道已维护的资讯数量，可资讯数量为0的频道进行删除操作；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支持根据频道类型自定义维护资讯内容，保存后及发布；</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支持对草稿的资讯进行编辑、删除、发布等操作，已发布资讯可进行撤回。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服务管理</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就医指南管理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支持自定义维护机构就诊指南的文本信息， 支持对指南内容进行编辑、删除操作。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不良事件管理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支持对不良事件进行新增、编辑、修改、删除，新增后支持选择一条或多条进行批量上报， 上报后数据不能删除。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在线问诊记录</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支持根据数据权限查看用户提交所有/本机构的问诊记录；</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支持查看患者本次问诊的记录，包含病情病情、沟通记录、门诊病历、处方、检查申请单、检验申请单信息、问诊进程；</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支持切换查看患者在平台以往的每次问诊记录信息；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支持在线问诊已完成订单的在线退费操作，退费需填写退费原因，同时更改订单支付状态。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处方购药记录</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支持根据数据权限查看用户提交所有/本机构的处方购药记录；</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支持查看处方购药的详情信息 包含患者基本信息、药品信息、处方信息、取药、退款和订单信息。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服务评价管理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支持查询平台用户提交的针对服务评价信息， 支持针对提交的评价进行设置是否支持查询。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用户投诉建议</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支持查看用户提交的针对机构/平台/就诊相关的投诉建议信息。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平台用户信息</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支持查看平台注册的所有用户信息，包含账号信息、生效状态。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数据统计</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问诊业务量统计</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支持查询机构问诊业务统计情况，支持按月、按年、按日查看各科室开通业务人数、问诊人次、问诊金额；医生问诊总人次、问诊类型人次、处方开具次数、处方金额，并能查看明细信息。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用户数据分析</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支持查询平台注册用户、问诊业务的数据统计。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系统管理</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系统设置</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提供面向平台信息的系统使用载体、系统模式、系统状态设置；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支持对允许用户注销、成员绑定数量、家庭组样式、支付方式、健康卡对接平台、数据同步的用户账号安全信息设置。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用户协议管理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提供平台用户注册协议须知、隐私政策、注销协议相关业务协议维护。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功能模块管理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提供平台功能分组的自定义设置，可查看已维护分组下关联功能数量；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支持对关联功能数量为0的分组进行停用、编辑、删除操作；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支持自定义新增功能模块信息，可设置应用类型、应用分组、功能名称、跳转类型、访问地址、访问用户、图标、启用状态信息；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支持对已启用功能进行停用，已停用功能进行启用、编辑、删除操作。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机构权限管理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支持对机构的接入状态、接入方式进行设置；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支持对默认接入的方式机构，进行开通功能权限设置。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移动菜单设置</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支持主页进行菜单配置，具体包含首页、机构风采、个人中心；</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支持对各页面的功能区显示顺序、是否显示进行设置；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支持对不同主页，不同功能区根据页面位置、机构权限添加相应功能模块。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支持根据系统设置使用载体，显示相应载体的主页、个人中心、医院风采、医院主页进行配置。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支持对功能区已添加的功能进行移除及调整功能显示顺序。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专题管理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支持针对开展互联网医院的机构自定义设置问诊专题；</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支持根据系统设置使用载体，设置对应载体专题页；</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支持对页面的功能区显示顺序、是否显示进行设置；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支持功能区根据机构功能权限添加相应功能模块；</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支持对功能区已添加的功能进行移除及调整功能显示顺序。 </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支持对已新增专题进行停用/启用、编辑、删除的操作。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广告管理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支持对微信小程序载体的平台首页广告、机构首页广告、健康资讯、机构风采相关广告位进行新增、编辑与修改。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公告管理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支持发布面向公众用户发布的公告、系统通知信息，公告支持设置平台公告、机构公告信息；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支持对已发布公告信息进行停用/启用、编辑、删除操作。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等保支撑服务</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等保支撑服务</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配合医院完成三级等保测评相关软件问题处理完善，支撑医院完成互联网医院三级等保备案。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省监管平台对接</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省监管平台对接</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根据各省互联网医院监管平台对接标准完成对接。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44" w:type="pct"/>
            <w:vMerge w:val="restart"/>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互联网医疗健康服务系统</w:t>
            </w: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w:t>
            </w:r>
          </w:p>
        </w:tc>
        <w:tc>
          <w:tcPr>
            <w:tcW w:w="731"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可根据配置显示首页展示相关功能区，包含搜索、推荐、常用、专题、广告、门诊、住院、便民、医院列表；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根据设置显示功能区的内容，包含功能、广告、医院、消息等信息；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支持功能访问时，根据功能权限进行账号注册、绑定就诊人控制，并在不同模式下进行功能访问路径区分。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支持根据不同功能区配置，在页面显示不同的首页内容。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问诊专题</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支持接入医院若开通互联网医院并配置问诊专题页时，用户可通过问诊专题功能进入医院问诊专题页；</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可根据配置显示医院问诊专题页展示相关功能区，包含搜索、推荐、常用、广告、推荐科室、推荐医生；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支持功能访问时，根据功能权限进行账号注册、绑定就诊人控制；</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支持根据功能状态、机构功能状态控制是否显示、用户是否可操作。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支持单医院模式下，设置运营模式为互联网医院时，可将专题页更换为应用主页。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搜索</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支持单院模式下可通过关键词搜索启用的科室、医生信息，选择科室则进入科室介绍页，选择医生则进入医生主页。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医院介绍</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医院介绍</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支持用户查看医院图片及医院介绍信息。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科室介绍</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科室介绍</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提供用户在线查看医院推介的相关科室列表，支持查看科室对应简介及科室下的医生列表。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专家介绍</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专家介绍</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提供用户在线查看医院特色专家类别及相关专家；支持查看专家介绍、擅长、服务评价与开通业务信息。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医生介绍</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医生介绍</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提供用户在线查看医院开放的医生信息，包含医生介绍、擅长、服务评价与开通业务信息。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就医指南</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就医指南</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提供用户查询医院就医指南信息，包含门诊挂号、缴费、住院等；提供医院支持自定义维护指南内容。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电话导诊</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电话导诊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提供用户查看医院公开的相关联系电话，支持点击电话发起拨打功能。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在线问诊</w:t>
            </w:r>
          </w:p>
        </w:tc>
        <w:tc>
          <w:tcPr>
            <w:tcW w:w="731"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视讯问诊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支持用户查看开通视讯问诊业务的医生，支持通过科室、有号、问诊量、评分等查询条件或关键词进行搜索医生，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支持查看医生开通业务、一周内有号、在线状态、评分；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支持查看医生开通问诊业务、医生介绍、服务评分信息。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支持对医生进行收藏/取消收藏操作；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支持根据医生视讯问诊开展号源模式，查看医生最近排班信息，选择问诊时段、填写病情并发起问诊申请；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支持视讯问诊开展非号源模式，根据医生在线状态，直接填写病情信息并及时提交问诊申请；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支持患者提交病情描述时，根据规则判断用户是否为复诊患者；</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支持患者提交问诊申请时，不能重复提交相同医生的问诊申请；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支持接诊后，患者可与医生进行在线图文、视讯沟通；</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支持接诊后，患者可查看医生编写门诊病历、开具慢性病处方、开具检查检验单。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支持患者填写病情描述时，可引用历次在平台提交生效的问诊病情信息或在院的门诊病历信息；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图文问诊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支持用户查看开通图文问诊业务的医生，支持通过科室、有号、问诊量、评分等查询条件或关键词进行搜索医生，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支持查看医生开通业务、一周内有号、在线状态、评分；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支持查看医生开通问诊业务、医生介绍、服务评分信息。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支持对医生进行收藏/取消收藏操作；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支持根据医生图文问诊开展号源模式，查看医生最近排班信息，选择问诊时段、填写病情并发起问诊申请；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支持图文问诊开展非号源模式，根据医生在线状态，直接填写病情信息并及时提交问诊申请；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支持患者填写病情描述时，可引用历次在平台提交生效的问诊病情信息或在院的门诊病历信息；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支持患者提交病情描述时，根据规则判断用户是否为复诊患者；</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支持患者提交问诊申请时，不能重复提交相同医生的问诊申请；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支持接诊后，患者可与医生进行在线图文沟通；</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支持接诊后，患者可查看医生编写门诊病历、开具慢性病处方、开具检查检验单。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语音问诊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支持用户查看开通语音问诊业务的医生，支持通过科室、有号、问诊量、评分等查询条件或关键词进行搜索医生，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支持查看医生开通业务、一周内有号、在线状态、评分；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支持查看医生开通问诊业务、医生介绍、服务评分信息；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支持对医生进行收藏/取消收藏操作；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支持根据医生语音问诊开展号源模式，查看医生最近排班信息，选择问诊时段、填写病情并发起问诊申请；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支持语音问诊开展非号源模式，根据医生在线状态，直接填写病情信息并及时提交问诊申请；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支持患者填写病情描述时，可引用历次在平台提交生效的问诊病情信息或在院的门诊病历信息；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支持患者提交病情描述时，根据规则判断用户是否为复诊患者；</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支持患者提交问诊申请时，不能重复提交相同医生的问诊申请；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支持接诊后，患者可与医生进行在线图文、语音沟通；</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支持接诊后，患者可查看医生编写门诊病历、开具慢性病处方、开具检查检验单。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spacing w:line="360" w:lineRule="auto"/>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在线支付</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在线支付</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支持支付时可选择自费支付，根据终端选择微信、支付宝支付。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处方购药</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处方列表</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提供线上问诊医生开具的处方查询，支持查看医生开具的处方详细信息；支持用户生效处方进行在线购药；支持查看患者本人或家庭成员在线开具的所有处方信息。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处方购药</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患者选择生效处方进行在线购买；支持到院自取、配送到家两种方式进行取药；配送到家：填写取件地址，到院自取选择取药药房后进行在线支付下单；支持订单发药前患者支持在线提交退药申请，由管理者审核通过后进行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在线支付</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支持支付时可选择自费支付，根据终端选择微信、支付宝支付。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消息中心</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消息中心</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支持接受系统通知、系统公告与相应业务提醒，支持查看账号注册后已推送的所有消息；支持对已读、未读消息进行红点区分。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健康资讯</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健康资讯</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支持用户查询健康资讯信息，支持对资讯进行收藏/取消收藏操作。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个人中心</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个人中心</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配置显示页面展示功能区与相关功能点，满足不同医院上线不同功能需求，功能区包含：账号、就诊人、推荐、服务订单、服务记录、常用工具、其他；支持功能访问时，根据功能权限进行账号注册、绑定就诊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我的家庭</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支持用户支持自行添加家庭成员信息，支持对家庭进行修改、删除、设置默认操作。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购药记录</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查看当前账号在线下单的所有购药订单，支持根据订单状态进行订单筛选，支持查看订单详情信息，配送到家订单支持查看配送信息，到院自取支持查看取件信息；同时待配送/待发药订单患者支持在线发起退款申请；支付顺丰同城物流对接及线上物流费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问诊记录</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查看当前账号在线提交的所有问诊订单，支持根据问诊状态进行筛选，支持查看问诊详情信息；支持查看本次提交病情、开具处方、申请单、问诊病历和沟通记录信息，也支持对已结束的问诊进行服务评价；在相关规则下支持患者在线取消问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地址管理</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支持自定义新增加收件地址信息， 对地址进行删除、修改操作；添加成功后相关业务支持直接引用地址信息。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我的收藏</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支持查看用户个人收藏的资讯、医生、医院信息；支持取消已收藏的信息。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投诉建议</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支持用户提交针对医疗机构/平台/医疗相关建议信息。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关于我们</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支持查询系统关于产品版本、平台协议、隐私政策、版本号等相关信息支持查询。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用户协议</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支持查询平台相关的用户协议信息。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账号管理</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登录/注册</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用户进入系统后，支持使用手机号验证码、微信一键手机号授权、支付宝手机号授权方式进行账号登录/注册。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手机号修改</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账号登录后，支持用户输入新手机号、手机验证码进行修改绑定手机号。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账户注销</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用户登录系统后，后台开通注销入口后，支持用户选择在线注销个人账号信息，注销后患者若使用手机号进行重新登录，则创建新账号，原账号订单数据无法再次查询。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退出登录</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账号登录系统后， 支持用户登出系统。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4" w:type="pct"/>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互联网医疗健康医务服务系统</w:t>
            </w:r>
          </w:p>
        </w:tc>
        <w:tc>
          <w:tcPr>
            <w:tcW w:w="710" w:type="pct"/>
            <w:vMerge w:val="restar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工作台</w:t>
            </w: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医生首页</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支持医生对待接诊、接诊中的问诊进行事务管理、可查看日程的安排及相关业务提醒；</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支持切换所在多执业（机构、科室），切换后页面内容刷新查看当前执业点信息；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支持医生对开通了碎片化问诊支持进行上线、离线操作，上线后患者支持查看医生并提交问诊申请。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药师首页</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支持药师对待审核的处方进行事务管理、可查看日程的安排及相关业务提醒；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问诊管理</w:t>
            </w:r>
          </w:p>
        </w:tc>
        <w:tc>
          <w:tcPr>
            <w:tcW w:w="731" w:type="pct"/>
            <w:vMerge w:val="restar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问诊列表</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支持医生查看正在接诊中、待接诊的所有患者列表；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支持根据时间、问诊类型进行问诊筛选；</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支持查看患者本次提交的病情描述信息，支持对可接诊的患者进行接诊、拒绝操作；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支持问诊结束时，验证病历是否填写并在结束，填写后支持根据规则进行扫码/UKEY的CA签章验证。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支持在问诊中，可查看当前候诊列表患者及病情描述信息，可进行问诊患者切换。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病历记录</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针对复诊患者，支持选择就诊时间在线查询周期内患者在院的历次门诊病历记录和病历详情，包含互联网医院、线下门诊病历信息。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问诊记录</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支持查询患者历次在平台的所有问诊记录，包含已拒绝、已接诊；</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支持切换查看患者在平台以往的每次问诊记录信息，包含病情病情、沟通记录、门诊病历、处方、检查申请单、检验申请单信息、入院证、问诊进程 ；</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支持对已结束未编辑的病历进行颜色标注提醒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ign w:val="center"/>
          </w:tcPr>
          <w:p>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在线接诊</w:t>
            </w: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图文问诊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患者提交图文问诊，支持医生与患者进行一对一在线图文沟通，支持发送图片、语音信息；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支持设置常用语进行发送，问诊结束后，支持查看图文沟通记录。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vMerge w:val="restar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视讯问诊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患者提交视讯问诊，支持接诊后医生发起视讯通话邀请，与患者进行一对一实时在线视频通话。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支持一对一在线图文沟通，支持发送图片、语音信息，支持设置常用语进行发送；</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问诊结束后，支持查看图文、视讯沟通记录。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44"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语音问诊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患者提交语音问诊，支持接诊后医生发起语音通话邀请，进行一对一实时在线语音通话；</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也支持进行一对一在线图文沟通进行资料补充，支持发送图片、语音信息，支持设置常用语进行发送；</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问诊结束后，支持查看图文、语音沟通记录。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ign w:val="center"/>
          </w:tcPr>
          <w:p>
            <w:pPr>
              <w:spacing w:line="36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病历书写</w:t>
            </w:r>
          </w:p>
        </w:tc>
        <w:tc>
          <w:tcPr>
            <w:tcW w:w="731" w:type="pct"/>
            <w:vMerge w:val="restar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病历编辑</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支持医生在线编辑互联网医院门诊病历，支持编辑主诉、病史、诊断、处置等信息；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支持处方、处置、主诉内容分别通过开具处方、检查检验申请当、患者病情描述自动代入病历，免去手动输入。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支持医生查看患者历次在平台当前医院、当前科室的线上问诊病历，可选择病历进行引用至当前病历。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vMerge w:val="restar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在线开方</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支持在线开具西药、成药处方（仅支持院内药品），仅支持开具普通处方和儿科处方；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支持处方发送时，在线预览处方信息，可查看当前开具药品对应的处方信息；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支持选择同类型药品保存为协定处方模版，可设置处方访问权限（个人、科室、医院）、处方名称；</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支持查看医生当前执业点有权限访问的协定处方列表，可选择某条处方与对应药房进行处方引用，引用后药品的用药用量加载至药品列表；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支持处方发送时，根据规则进行扫码/UKEY的CA签章验证；</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支持处方发送后，医生可追加处方信息；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支持对已推送且未购买的处方进行撤销，并支持重新编辑处方；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支持对慢病门诊的问诊患者开具慢病处方；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支持根据药品类型西药、中成药、中草药进行分方，支持西药、中成药处方超五味药品自动分方；</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支持根据规则处方发送是否推送药师进行审核后，若不推送则直接推送患者，需审核则药师审核后再推送患者。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支持查看患者历次在互联网医院历次开具的处方列表，可按问诊选择单条或全部处方进行引用，引用后药品的用药用量加载至药品列表。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问诊记录</w:t>
            </w: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问诊详情</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支持查询医生已接诊/拒绝的所有问诊记录</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支持对已结束但病历未编辑的问诊，进行病历补充填写；</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支持对问诊已结束，处方审核未通过的处方进行编辑/作废操作；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支持查看患者在平台的所有问诊记录，可切换查看某条问诊记录详情信息，包含病情病情、沟通记录、门诊病历、处方、检查申请单、检验申请单信息、入院证、问诊进程。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ign w:val="center"/>
          </w:tcPr>
          <w:p>
            <w:pPr>
              <w:spacing w:line="360" w:lineRule="auto"/>
              <w:jc w:val="center"/>
              <w:rPr>
                <w:rFonts w:hint="eastAsia" w:ascii="宋体" w:hAnsi="宋体" w:eastAsia="宋体" w:cs="宋体"/>
                <w:i w:val="0"/>
                <w:iCs w:val="0"/>
                <w:color w:val="auto"/>
                <w:sz w:val="21"/>
                <w:szCs w:val="21"/>
                <w:u w:val="none"/>
              </w:rPr>
            </w:pP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恢复问诊</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支持相关规则下对已结束的问诊进行问诊恢复，恢复后可新增/编辑检查检验申请单、处方、病历信息；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恢复问诊后，问诊详情新增恢复问诊节点。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restar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处方流转</w:t>
            </w:r>
          </w:p>
        </w:tc>
        <w:tc>
          <w:tcPr>
            <w:tcW w:w="731" w:type="pct"/>
            <w:vMerge w:val="restart"/>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处方审核</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支持根据处方审核流程配置，药师可查看待审核处方及本次问诊病历；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支持药师根据患者病历核对医生开具的处方是否合理，支持通过、驳回操作，驳回填写驳回理由并返回开方医生，通过则推送至患者；</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支持处方审核时，根据规则进行扫码/UKEY的CA签章验证。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vMerge w:val="continue"/>
            <w:noWrap/>
            <w:vAlign w:val="center"/>
          </w:tcPr>
          <w:p>
            <w:pPr>
              <w:spacing w:line="360" w:lineRule="auto"/>
              <w:jc w:val="left"/>
              <w:rPr>
                <w:rFonts w:hint="eastAsia" w:ascii="宋体" w:hAnsi="宋体" w:eastAsia="宋体" w:cs="宋体"/>
                <w:i w:val="0"/>
                <w:iCs w:val="0"/>
                <w:color w:val="auto"/>
                <w:sz w:val="21"/>
                <w:szCs w:val="21"/>
                <w:u w:val="none"/>
              </w:rPr>
            </w:pP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支持已审核通过且未被患者购买的处方，药师可主动撤回处方，并填写撤回原因并将处方返回至开方医生。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vMerge w:val="continue"/>
            <w:noWrap w:val="0"/>
            <w:vAlign w:val="center"/>
          </w:tcPr>
          <w:p>
            <w:pPr>
              <w:spacing w:line="360" w:lineRule="auto"/>
              <w:jc w:val="left"/>
              <w:rPr>
                <w:rFonts w:hint="eastAsia" w:ascii="宋体" w:hAnsi="宋体" w:eastAsia="宋体" w:cs="宋体"/>
                <w:i w:val="0"/>
                <w:iCs w:val="0"/>
                <w:color w:val="auto"/>
                <w:sz w:val="21"/>
                <w:szCs w:val="21"/>
                <w:u w:val="none"/>
              </w:rPr>
            </w:pPr>
          </w:p>
        </w:tc>
        <w:tc>
          <w:tcPr>
            <w:tcW w:w="731" w:type="pct"/>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购药审核</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支持查询患者提交的购药退费申请及订单详情，包含：处方信息、药品信息、取件信息、订单状态、退费申请与订单信息。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支持对待审核退费申请进行通过/驳回操作，通过则撤回处方并进行患者在线退费。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电子签章</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电子签章</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医生处方发送时，问诊结束、病历保存时，需对接CA签名系统，实现CA签章。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消息中心</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消息中心</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支持接受系统通知、系统公告与问诊、处方等业务提醒，支持查看已推送的所有消息；支持对已读、未读消息进行红点区分。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pct"/>
            <w:vMerge w:val="continue"/>
            <w:noWrap w:val="0"/>
            <w:vAlign w:val="center"/>
          </w:tcPr>
          <w:p>
            <w:pPr>
              <w:spacing w:line="360" w:lineRule="auto"/>
              <w:jc w:val="center"/>
              <w:rPr>
                <w:rFonts w:hint="eastAsia" w:ascii="宋体" w:hAnsi="宋体" w:eastAsia="宋体" w:cs="宋体"/>
                <w:i w:val="0"/>
                <w:iCs w:val="0"/>
                <w:color w:val="auto"/>
                <w:sz w:val="21"/>
                <w:szCs w:val="21"/>
                <w:u w:val="none"/>
              </w:rPr>
            </w:pPr>
          </w:p>
        </w:tc>
        <w:tc>
          <w:tcPr>
            <w:tcW w:w="71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协定处方</w:t>
            </w:r>
          </w:p>
        </w:tc>
        <w:tc>
          <w:tcPr>
            <w:tcW w:w="73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协定处方</w:t>
            </w:r>
          </w:p>
        </w:tc>
        <w:tc>
          <w:tcPr>
            <w:tcW w:w="3014" w:type="pct"/>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支持查看当前执业点可访问的协定处方信息；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支持在列表新增西药、成药、中草药协定处方，并设置处方访问权限；</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支持对自己维护的协定处方进行查看、编辑、删除操作。</w:t>
            </w:r>
          </w:p>
        </w:tc>
      </w:tr>
    </w:tbl>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二、其它要求 </w:t>
      </w:r>
    </w:p>
    <w:p>
      <w:pPr>
        <w:keepNext w:val="0"/>
        <w:keepLines w:val="0"/>
        <w:widowControl/>
        <w:suppressLineNumbers w:val="0"/>
        <w:spacing w:line="360" w:lineRule="auto"/>
        <w:ind w:firstLine="420" w:firstLineChars="200"/>
        <w:jc w:val="left"/>
      </w:pPr>
      <w:r>
        <w:rPr>
          <w:rFonts w:hint="eastAsia" w:ascii="宋体" w:hAnsi="宋体" w:eastAsia="宋体" w:cs="宋体"/>
          <w:color w:val="000000"/>
          <w:kern w:val="0"/>
          <w:sz w:val="21"/>
          <w:szCs w:val="21"/>
          <w:lang w:val="en-US" w:eastAsia="zh-CN" w:bidi="ar"/>
        </w:rPr>
        <w:t>1、投标人需承诺与采购人已有的医院信息系统进行无缝对接，所有相关接口费用由投标人承担，包含在投标总价中，并通过江苏省监管平台测试通过（须提供承诺函，格式自拟）。</w:t>
      </w:r>
    </w:p>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rPr>
          <w:rFonts w:hint="eastAsia"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br w:type="page"/>
      </w: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2C622CE"/>
    <w:rsid w:val="03A964DC"/>
    <w:rsid w:val="03AD764F"/>
    <w:rsid w:val="04F80D9E"/>
    <w:rsid w:val="04FE4606"/>
    <w:rsid w:val="069A5C9E"/>
    <w:rsid w:val="06AC1E40"/>
    <w:rsid w:val="06B807E5"/>
    <w:rsid w:val="0750482F"/>
    <w:rsid w:val="078B414B"/>
    <w:rsid w:val="080D4B60"/>
    <w:rsid w:val="0814012D"/>
    <w:rsid w:val="082C70A5"/>
    <w:rsid w:val="08D86F1C"/>
    <w:rsid w:val="094E3039"/>
    <w:rsid w:val="095764B1"/>
    <w:rsid w:val="095B7274"/>
    <w:rsid w:val="09C63218"/>
    <w:rsid w:val="09D0206C"/>
    <w:rsid w:val="09DA6CC4"/>
    <w:rsid w:val="0A7024DB"/>
    <w:rsid w:val="0B263E44"/>
    <w:rsid w:val="0B6F290B"/>
    <w:rsid w:val="0C2051B1"/>
    <w:rsid w:val="0C684A5B"/>
    <w:rsid w:val="0D3336BE"/>
    <w:rsid w:val="0D900E49"/>
    <w:rsid w:val="0DDA308D"/>
    <w:rsid w:val="0DE94D00"/>
    <w:rsid w:val="0E222820"/>
    <w:rsid w:val="0E24763A"/>
    <w:rsid w:val="0EC56037"/>
    <w:rsid w:val="0ED939EE"/>
    <w:rsid w:val="0F3A26DF"/>
    <w:rsid w:val="0FF54858"/>
    <w:rsid w:val="10525806"/>
    <w:rsid w:val="107E484D"/>
    <w:rsid w:val="10AA08EC"/>
    <w:rsid w:val="11E20E0C"/>
    <w:rsid w:val="120F4BA8"/>
    <w:rsid w:val="12502219"/>
    <w:rsid w:val="12624687"/>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C0B03"/>
    <w:rsid w:val="1BF14125"/>
    <w:rsid w:val="1BF260EF"/>
    <w:rsid w:val="1C133BCE"/>
    <w:rsid w:val="1C975504"/>
    <w:rsid w:val="1D2A0508"/>
    <w:rsid w:val="1D4A4435"/>
    <w:rsid w:val="1D7F67FE"/>
    <w:rsid w:val="1DF93765"/>
    <w:rsid w:val="1E1C7453"/>
    <w:rsid w:val="1E94348E"/>
    <w:rsid w:val="1EC975DB"/>
    <w:rsid w:val="1F3666B5"/>
    <w:rsid w:val="1FAB4F33"/>
    <w:rsid w:val="20855784"/>
    <w:rsid w:val="20B63B8F"/>
    <w:rsid w:val="215D4CC1"/>
    <w:rsid w:val="219519F6"/>
    <w:rsid w:val="226C65C6"/>
    <w:rsid w:val="226F2247"/>
    <w:rsid w:val="22E04EF3"/>
    <w:rsid w:val="232B0864"/>
    <w:rsid w:val="23356FED"/>
    <w:rsid w:val="246A0F18"/>
    <w:rsid w:val="2566706B"/>
    <w:rsid w:val="26562AC8"/>
    <w:rsid w:val="26F53772"/>
    <w:rsid w:val="276854B7"/>
    <w:rsid w:val="278A3680"/>
    <w:rsid w:val="279D33B3"/>
    <w:rsid w:val="27FA25B3"/>
    <w:rsid w:val="281D2DAB"/>
    <w:rsid w:val="284F637D"/>
    <w:rsid w:val="29675768"/>
    <w:rsid w:val="2B312790"/>
    <w:rsid w:val="2D3C65BD"/>
    <w:rsid w:val="2E0D016A"/>
    <w:rsid w:val="2E555FE9"/>
    <w:rsid w:val="2E5F7614"/>
    <w:rsid w:val="2E9B7447"/>
    <w:rsid w:val="2F2309F5"/>
    <w:rsid w:val="2F6B1FE9"/>
    <w:rsid w:val="2F9F3433"/>
    <w:rsid w:val="303B7C0D"/>
    <w:rsid w:val="31164F5F"/>
    <w:rsid w:val="31440D43"/>
    <w:rsid w:val="31C57111"/>
    <w:rsid w:val="31D14A2C"/>
    <w:rsid w:val="322D4DA0"/>
    <w:rsid w:val="332C1A8F"/>
    <w:rsid w:val="33A07D76"/>
    <w:rsid w:val="34081517"/>
    <w:rsid w:val="342235BE"/>
    <w:rsid w:val="34BB2350"/>
    <w:rsid w:val="35860A93"/>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A46FA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FE0FCF"/>
    <w:rsid w:val="4C06511B"/>
    <w:rsid w:val="4CB93F3C"/>
    <w:rsid w:val="4D292997"/>
    <w:rsid w:val="4D636AE3"/>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2E55DC"/>
    <w:rsid w:val="5C3A1DA4"/>
    <w:rsid w:val="5C495194"/>
    <w:rsid w:val="5CAD6653"/>
    <w:rsid w:val="5F27754A"/>
    <w:rsid w:val="5F2C67EF"/>
    <w:rsid w:val="5F63077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2CF6A5D"/>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8DB55C0"/>
    <w:rsid w:val="792D7AB2"/>
    <w:rsid w:val="795A422D"/>
    <w:rsid w:val="79F226B7"/>
    <w:rsid w:val="7A0D5EC0"/>
    <w:rsid w:val="7A781B2D"/>
    <w:rsid w:val="7ACE5434"/>
    <w:rsid w:val="7AE10C43"/>
    <w:rsid w:val="7B494559"/>
    <w:rsid w:val="7BB763C6"/>
    <w:rsid w:val="7C064FD8"/>
    <w:rsid w:val="7C2F5925"/>
    <w:rsid w:val="7C515639"/>
    <w:rsid w:val="7C630EF0"/>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29</Pages>
  <Words>12034</Words>
  <Characters>12341</Characters>
  <Lines>48</Lines>
  <Paragraphs>13</Paragraphs>
  <TotalTime>38</TotalTime>
  <ScaleCrop>false</ScaleCrop>
  <LinksUpToDate>false</LinksUpToDate>
  <CharactersWithSpaces>12829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花﹡在当下~</cp:lastModifiedBy>
  <dcterms:modified xsi:type="dcterms:W3CDTF">2024-06-21T08:08:39Z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E809BF1FE1EA41A1AB229C09AB8E96A4_13</vt:lpwstr>
  </property>
</Properties>
</file>